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color w:val="00484E"/>
          <w:sz w:val="15"/>
          <w:szCs w:val="15"/>
        </w:rPr>
      </w:pPr>
      <w:r>
        <w:rPr>
          <w:rFonts w:hint="eastAsia" w:ascii="黑体" w:hAnsi="黑体" w:eastAsia="黑体"/>
          <w:b/>
          <w:sz w:val="4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-684530</wp:posOffset>
            </wp:positionH>
            <wp:positionV relativeFrom="page">
              <wp:posOffset>0</wp:posOffset>
            </wp:positionV>
            <wp:extent cx="7559040" cy="10689590"/>
            <wp:effectExtent l="0" t="0" r="0" b="8890"/>
            <wp:wrapSquare wrapText="bothSides"/>
            <wp:docPr id="2" name="图片 2" descr="C:\Users\Administrator\Desktop\项目总封面设计-02.png项目总封面设计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项目总封面设计-02.png项目总封面设计-0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484E"/>
          <w:sz w:val="15"/>
          <w:szCs w:val="15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ge">
              <wp:posOffset>7620</wp:posOffset>
            </wp:positionV>
            <wp:extent cx="7856220" cy="10737215"/>
            <wp:effectExtent l="0" t="0" r="7620" b="6985"/>
            <wp:wrapTopAndBottom/>
            <wp:docPr id="4" name="图片 4" descr="项目总印刷简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项目总印刷简章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color w:val="00484E"/>
          <w:sz w:val="15"/>
          <w:szCs w:val="15"/>
          <w:lang w:eastAsia="zh-CN"/>
        </w:rPr>
      </w:pPr>
    </w:p>
    <w:p>
      <w:pPr>
        <w:jc w:val="both"/>
        <w:rPr>
          <w:rFonts w:ascii="微软雅黑" w:hAnsi="微软雅黑" w:eastAsia="微软雅黑" w:cs="微软雅黑"/>
          <w:b/>
          <w:color w:val="00484E"/>
          <w:sz w:val="15"/>
          <w:szCs w:val="15"/>
        </w:rPr>
      </w:pPr>
    </w:p>
    <w:p>
      <w:pPr>
        <w:jc w:val="left"/>
        <w:rPr>
          <w:rFonts w:ascii="微软雅黑" w:hAnsi="微软雅黑" w:eastAsia="微软雅黑" w:cs="微软雅黑"/>
          <w:b/>
          <w:color w:val="00484E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【研修背景】</w:t>
      </w:r>
    </w:p>
    <w:p>
      <w:pPr>
        <w:ind w:firstLine="480" w:firstLineChars="200"/>
        <w:rPr>
          <w:rFonts w:ascii="微软雅黑" w:hAnsi="微软雅黑" w:eastAsia="微软雅黑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/>
          <w:kern w:val="0"/>
          <w:sz w:val="24"/>
          <w:szCs w:val="24"/>
          <w:lang w:bidi="ar"/>
        </w:rPr>
        <w:t>2020年12月，刚刚结束的中央经济工作会议再次重申“房住不炒”，中国房地产行业高杠杆、高周转的时代终结，行业增速明显放缓、房企盈利能力持续下降，市场份额之争屡屡加剧，叠加“新冠”疫情防控常态化对经济大环境的影响，融资“三道红线”对房企的严格审视，房地产企业夹缝求生，负重前行。</w:t>
      </w:r>
    </w:p>
    <w:p>
      <w:pPr>
        <w:ind w:firstLine="480" w:firstLineChars="200"/>
        <w:rPr>
          <w:rFonts w:ascii="微软雅黑" w:hAnsi="微软雅黑" w:eastAsia="微软雅黑" w:cs="微软雅黑"/>
          <w:b/>
          <w:color w:val="00484E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  <w:lang w:bidi="ar"/>
        </w:rPr>
        <w:t>在新时代周期背景下，房地产企业能否顶住压力，拨云见日、脱颖而出，取决于每一个项目能否成功，而项目的成功，优秀的项目总经理是关键。</w:t>
      </w:r>
      <w:r>
        <w:rPr>
          <w:rFonts w:hint="eastAsia" w:ascii="微软雅黑" w:hAnsi="微软雅黑" w:eastAsia="微软雅黑" w:cs="微软雅黑"/>
          <w:b/>
          <w:color w:val="00484E"/>
          <w:sz w:val="24"/>
          <w:szCs w:val="24"/>
        </w:rPr>
        <w:t>优秀的房地产项目总经理一直是行业的稀缺人才，并且随着行业的发展对项目总经理提出了更高的能力要求，原有的思维体系、管理手段已无法驾驭内外协同、掌控项目全局。</w:t>
      </w:r>
    </w:p>
    <w:p>
      <w:pPr>
        <w:ind w:firstLine="480" w:firstLineChars="200"/>
        <w:rPr>
          <w:rFonts w:ascii="微软雅黑" w:hAnsi="微软雅黑" w:eastAsia="微软雅黑"/>
          <w:b/>
          <w:bCs/>
          <w:color w:val="254061" w:themeColor="accent1" w:themeShade="8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484E"/>
          <w:sz w:val="24"/>
          <w:szCs w:val="24"/>
        </w:rPr>
        <w:t>基于此，北京大学房地产研究课题组在深入研究总结100位+优秀项目操盘手核心能力的基础上，结合新的营商环境，对「2020标杆地产项目总精英训战营」课程体系焕新升级，旨在为房企加速培养能够独立操盘项目，适应当前形势，独当一面的项目领军人才！</w:t>
      </w:r>
    </w:p>
    <w:p>
      <w:pPr>
        <w:rPr>
          <w:rFonts w:asciiTheme="minorEastAsia" w:hAnsiTheme="minorEastAsia"/>
          <w:b/>
          <w:color w:val="C00000"/>
          <w:sz w:val="30"/>
          <w:szCs w:val="30"/>
        </w:rPr>
      </w:pPr>
      <w:r>
        <w:rPr>
          <w:rFonts w:ascii="微软雅黑" w:hAnsi="微软雅黑" w:eastAsia="微软雅黑"/>
          <w:sz w:val="30"/>
          <w:szCs w:val="30"/>
        </w:rPr>
        <w:br w:type="textWrapping" w:clear="all"/>
      </w: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【素能模型】</w:t>
      </w:r>
    </w:p>
    <w:p>
      <w:pPr>
        <w:ind w:firstLine="480" w:firstLineChars="200"/>
        <w:rPr>
          <w:rFonts w:asciiTheme="minorEastAsia" w:hAnsiTheme="minorEastAsia"/>
          <w:b/>
          <w:color w:val="C00000"/>
          <w:sz w:val="30"/>
          <w:szCs w:val="30"/>
        </w:rPr>
      </w:pPr>
      <w:r>
        <w:rPr>
          <w:rFonts w:hint="eastAsia" w:ascii="微软雅黑" w:hAnsi="微软雅黑" w:eastAsia="微软雅黑"/>
          <w:sz w:val="24"/>
          <w:szCs w:val="24"/>
        </w:rPr>
        <w:t>2021年的房地产企业即将面临残酷的“生死竞速”，调控基调坚定而持续，去融资杠杆已成定局，行业规模分化趋势明显，强者恒强，中小房企则面临“出局”的高风险。这一新的时代背景为房地产项目总提出了更高的能力要求：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3702685" cy="27933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79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sz w:val="24"/>
          <w:szCs w:val="30"/>
        </w:rPr>
      </w:pPr>
      <w:r>
        <w:rPr>
          <w:rFonts w:ascii="微软雅黑" w:hAnsi="微软雅黑" w:eastAsia="微软雅黑"/>
          <w:b/>
          <w:sz w:val="24"/>
          <w:szCs w:val="30"/>
        </w:rPr>
        <w:t>卓越房地产项目总五维素能提升模型</w:t>
      </w:r>
    </w:p>
    <w:p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484E"/>
          <w:sz w:val="24"/>
          <w:szCs w:val="24"/>
        </w:rPr>
        <w:t>全局视野</w:t>
      </w:r>
      <w:r>
        <w:rPr>
          <w:rFonts w:hint="eastAsia" w:ascii="微软雅黑" w:hAnsi="微软雅黑" w:eastAsia="微软雅黑"/>
          <w:sz w:val="24"/>
          <w:szCs w:val="24"/>
        </w:rPr>
        <w:t>---对行业和市场有精准预判，具备战略创新思维与行业发展视野，对突发变化有基于全局的应对策略，具备以项目见企业的全局观和大局意识。</w:t>
      </w:r>
    </w:p>
    <w:p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484E"/>
          <w:sz w:val="24"/>
          <w:szCs w:val="24"/>
        </w:rPr>
        <w:t>领导格局</w:t>
      </w:r>
      <w:r>
        <w:rPr>
          <w:rFonts w:hint="eastAsia" w:ascii="微软雅黑" w:hAnsi="微软雅黑" w:eastAsia="微软雅黑"/>
          <w:sz w:val="24"/>
          <w:szCs w:val="24"/>
        </w:rPr>
        <w:t>---有掌舵者的能力和格局，强大的协调能力与利益平衡之术，对团队不止是管理，更是领导，目标坚定，永不止步。</w:t>
      </w:r>
    </w:p>
    <w:p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484E"/>
          <w:sz w:val="24"/>
          <w:szCs w:val="24"/>
        </w:rPr>
        <w:t>经营思维</w:t>
      </w:r>
      <w:r>
        <w:rPr>
          <w:rFonts w:hint="eastAsia" w:ascii="微软雅黑" w:hAnsi="微软雅黑" w:eastAsia="微软雅黑"/>
          <w:sz w:val="24"/>
          <w:szCs w:val="24"/>
        </w:rPr>
        <w:t>---有全盘意识，以财务经营目标为导向，以现金流、利润等经营指标为核心，对全项目、全周期、全专业进行全面统筹。</w:t>
      </w:r>
    </w:p>
    <w:p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484E"/>
          <w:sz w:val="24"/>
          <w:szCs w:val="24"/>
        </w:rPr>
        <w:t>专业决策</w:t>
      </w:r>
      <w:r>
        <w:rPr>
          <w:rFonts w:hint="eastAsia" w:ascii="微软雅黑" w:hAnsi="微软雅黑" w:eastAsia="微软雅黑"/>
          <w:sz w:val="24"/>
          <w:szCs w:val="24"/>
        </w:rPr>
        <w:t>---掌握项目投资研判、产品决策、销售组织、进度品质、验收交付、成本控制等全流程各专业关键环节的决策要点，具备决策风险控制能力。</w:t>
      </w:r>
    </w:p>
    <w:p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484E"/>
          <w:sz w:val="24"/>
          <w:szCs w:val="24"/>
        </w:rPr>
        <w:t>增效提速</w:t>
      </w:r>
      <w:r>
        <w:rPr>
          <w:rFonts w:hint="eastAsia" w:ascii="微软雅黑" w:hAnsi="微软雅黑" w:eastAsia="微软雅黑"/>
          <w:sz w:val="24"/>
          <w:szCs w:val="24"/>
        </w:rPr>
        <w:t>---赋能产品力、营销去化和成本控制等与效益和速度相关的核心能力，把控投资收益，确保现金流安全，实现快速、稳健的规模和业绩增长目标。</w:t>
      </w: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【往期回顾】</w:t>
      </w:r>
    </w:p>
    <w:p>
      <w:pPr>
        <w:pStyle w:val="7"/>
        <w:widowControl/>
        <w:shd w:val="clear" w:color="auto" w:fill="FFFFFF"/>
        <w:spacing w:line="368" w:lineRule="atLeast"/>
        <w:ind w:left="96" w:right="96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b/>
          <w:bCs/>
          <w:color w:val="00484E"/>
          <w:szCs w:val="24"/>
        </w:rPr>
        <w:t xml:space="preserve">· 60%的学员，为项目总储备人才  </w:t>
      </w:r>
      <w:r>
        <w:rPr>
          <w:rFonts w:hint="eastAsia" w:ascii="微软雅黑" w:hAnsi="微软雅黑" w:eastAsia="微软雅黑"/>
          <w:szCs w:val="24"/>
        </w:rPr>
        <w:t>通过系统的研修，提升战略经营意识，加强跨部门协作与管理能力，由单条线的职能管理，逐步拓宽管理界面，基本上都成功晋升为项目总经理。</w:t>
      </w:r>
    </w:p>
    <w:p>
      <w:pPr>
        <w:pStyle w:val="7"/>
        <w:widowControl/>
        <w:shd w:val="clear" w:color="auto" w:fill="FFFFFF"/>
        <w:spacing w:line="368" w:lineRule="atLeast"/>
        <w:ind w:left="96" w:right="96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b/>
          <w:bCs/>
          <w:color w:val="00484E"/>
          <w:szCs w:val="24"/>
        </w:rPr>
        <w:t xml:space="preserve">· 40%的学员，为现任项目总  </w:t>
      </w:r>
      <w:r>
        <w:rPr>
          <w:rFonts w:hint="eastAsia" w:ascii="微软雅黑" w:hAnsi="微软雅黑" w:eastAsia="微软雅黑"/>
          <w:szCs w:val="24"/>
        </w:rPr>
        <w:t>通过系统研修，完成了思维和能力升级，明显提高与职能中心的协作能力，同时获得了很多可直接应用的方法工具甚至是策略，提升项目开发利润，获得公司认可，被委任承担更多的项目，部分升任为城市总或者区域总。</w:t>
      </w: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【项目亮点】</w:t>
      </w:r>
    </w:p>
    <w:p>
      <w:pPr>
        <w:pStyle w:val="7"/>
        <w:widowControl/>
        <w:shd w:val="clear" w:color="auto" w:fill="FFFFFF"/>
        <w:spacing w:line="368" w:lineRule="atLeast"/>
        <w:ind w:left="96" w:right="96"/>
        <w:rPr>
          <w:rFonts w:ascii="微软雅黑" w:hAnsi="微软雅黑" w:eastAsia="微软雅黑"/>
          <w:b/>
          <w:bCs/>
          <w:color w:val="948A54" w:themeColor="background2" w:themeShade="8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948A54" w:themeColor="background2" w:themeShade="80"/>
          <w:sz w:val="28"/>
          <w:szCs w:val="28"/>
        </w:rPr>
        <w:t>01</w:t>
      </w:r>
      <w:r>
        <w:rPr>
          <w:rFonts w:hint="eastAsia" w:ascii="微软雅黑" w:hAnsi="微软雅黑" w:eastAsia="微软雅黑"/>
          <w:b/>
          <w:bCs/>
          <w:color w:val="00484E"/>
          <w:sz w:val="28"/>
          <w:szCs w:val="28"/>
        </w:rPr>
        <w:t xml:space="preserve">学习效率高 </w:t>
      </w:r>
      <w:r>
        <w:rPr>
          <w:rFonts w:hint="eastAsia" w:ascii="微软雅黑" w:hAnsi="微软雅黑" w:eastAsia="微软雅黑"/>
          <w:szCs w:val="24"/>
        </w:rPr>
        <w:t>线上可随时学习、随学随用，不占用工作时间，进行反复研习</w:t>
      </w:r>
    </w:p>
    <w:p>
      <w:pPr>
        <w:pStyle w:val="7"/>
        <w:widowControl/>
        <w:shd w:val="clear" w:color="auto" w:fill="FFFFFF"/>
        <w:spacing w:line="368" w:lineRule="atLeast"/>
        <w:ind w:left="80" w:leftChars="38" w:right="96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b/>
          <w:bCs/>
          <w:color w:val="948A54" w:themeColor="background2" w:themeShade="80"/>
          <w:sz w:val="28"/>
          <w:szCs w:val="28"/>
        </w:rPr>
        <w:t>02</w:t>
      </w:r>
      <w:r>
        <w:rPr>
          <w:rFonts w:hint="eastAsia" w:ascii="微软雅黑" w:hAnsi="微软雅黑" w:eastAsia="微软雅黑"/>
          <w:b/>
          <w:bCs/>
          <w:color w:val="00484E"/>
          <w:sz w:val="28"/>
          <w:szCs w:val="28"/>
        </w:rPr>
        <w:t xml:space="preserve">学习成本低 </w:t>
      </w:r>
      <w:r>
        <w:rPr>
          <w:rFonts w:hint="eastAsia" w:ascii="微软雅黑" w:hAnsi="微软雅黑" w:eastAsia="微软雅黑"/>
          <w:szCs w:val="24"/>
        </w:rPr>
        <w:t>学费不足线下学习学费的三分之一，为企业节省70%学习成本</w:t>
      </w:r>
    </w:p>
    <w:p>
      <w:pPr>
        <w:pStyle w:val="7"/>
        <w:widowControl/>
        <w:shd w:val="clear" w:color="auto" w:fill="FFFFFF"/>
        <w:spacing w:line="368" w:lineRule="atLeast"/>
        <w:ind w:left="96" w:right="96"/>
        <w:rPr>
          <w:rFonts w:ascii="微软雅黑" w:hAnsi="微软雅黑" w:eastAsia="微软雅黑"/>
          <w:b/>
          <w:bCs/>
          <w:color w:val="00484E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948A54" w:themeColor="background2" w:themeShade="80"/>
          <w:sz w:val="28"/>
          <w:szCs w:val="28"/>
        </w:rPr>
        <w:t>03</w:t>
      </w:r>
      <w:r>
        <w:rPr>
          <w:rFonts w:hint="eastAsia" w:ascii="微软雅黑" w:hAnsi="微软雅黑" w:eastAsia="微软雅黑"/>
          <w:b/>
          <w:bCs/>
          <w:color w:val="00484E"/>
          <w:sz w:val="28"/>
          <w:szCs w:val="28"/>
        </w:rPr>
        <w:t xml:space="preserve">学习效果佳 </w:t>
      </w:r>
      <w:r>
        <w:rPr>
          <w:rFonts w:hint="eastAsia" w:ascii="微软雅黑" w:hAnsi="微软雅黑" w:eastAsia="微软雅黑"/>
          <w:szCs w:val="24"/>
        </w:rPr>
        <w:t xml:space="preserve">线上学习+群组研讨+线下互动+成熟运营，可定期为企业输出学习报告 </w:t>
      </w:r>
      <w:r>
        <w:rPr>
          <w:rFonts w:hint="eastAsia" w:ascii="微软雅黑" w:hAnsi="微软雅黑" w:eastAsia="微软雅黑"/>
          <w:b/>
          <w:bCs/>
          <w:color w:val="00484E"/>
          <w:sz w:val="28"/>
          <w:szCs w:val="28"/>
        </w:rPr>
        <w:t xml:space="preserve">  </w:t>
      </w:r>
    </w:p>
    <w:p>
      <w:pPr>
        <w:pStyle w:val="7"/>
        <w:widowControl/>
        <w:shd w:val="clear" w:color="auto" w:fill="FFFFFF"/>
        <w:spacing w:line="368" w:lineRule="atLeast"/>
        <w:ind w:right="96"/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>
      <w:pPr>
        <w:pStyle w:val="7"/>
        <w:widowControl/>
        <w:shd w:val="clear" w:color="auto" w:fill="FFFFFF"/>
        <w:spacing w:line="368" w:lineRule="atLeast"/>
        <w:ind w:right="96"/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【课程体系】</w:t>
      </w: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tbl>
      <w:tblPr>
        <w:tblStyle w:val="8"/>
        <w:tblW w:w="9781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8"/>
        <w:gridCol w:w="5528"/>
        <w:gridCol w:w="21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11494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11494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核心能力</w:t>
            </w:r>
          </w:p>
        </w:tc>
        <w:tc>
          <w:tcPr>
            <w:tcW w:w="55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11494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课程主题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11494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课程时长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2"/>
              </w:rPr>
              <w:t>全局视野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房地产行业趋势与战略思考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2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2"/>
              </w:rPr>
              <w:t>领导格局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如何干好项目公司“一把手”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项目执行铁军打造与团队氛围营造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4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2"/>
              </w:rPr>
              <w:t>经营思维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房地产项目运营会议管理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4小时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5</w:t>
            </w:r>
          </w:p>
        </w:tc>
        <w:tc>
          <w:tcPr>
            <w:tcW w:w="1418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以现金流为核心的项目大运营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基于快周转的项目计划管理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7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2"/>
              </w:rPr>
              <w:t>专业决策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房地产项目开发全流程管控及决策要点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6小时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基于报批报建的政府关系建立与维护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2小时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9</w:t>
            </w:r>
          </w:p>
        </w:tc>
        <w:tc>
          <w:tcPr>
            <w:tcW w:w="1418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房地产企业危机处理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2小时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房地产项目融资模式创新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房地产合作开发项目管理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12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项目复盘技术与应用案例解析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2"/>
              </w:rPr>
              <w:t>增效提速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项目定位环节产品力提升要点解析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14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设计研发环节产品力提升要点解析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15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基于工程进度与品质平衡的产品力提升要点解析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16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基于物业服务的产品力提升要点解析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17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营销全过程项目总关键决策要点解析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18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渠道为王—渠道组建与销冠王牌军打造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19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车位、底商、公寓等滞重资产突围策略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20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基于利润保卫的项目无效成本识别与管控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21</w:t>
            </w:r>
          </w:p>
        </w:tc>
        <w:tc>
          <w:tcPr>
            <w:tcW w:w="141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b/>
                <w:color w:val="000000"/>
                <w:kern w:val="0"/>
                <w:sz w:val="22"/>
              </w:rPr>
            </w:pPr>
          </w:p>
        </w:tc>
        <w:tc>
          <w:tcPr>
            <w:tcW w:w="55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项目总视角的全过程税务筹划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</w:rPr>
              <w:t>3小时</w:t>
            </w:r>
          </w:p>
        </w:tc>
      </w:tr>
    </w:tbl>
    <w:p>
      <w:pPr>
        <w:rPr>
          <w:rFonts w:asciiTheme="minorEastAsia" w:hAnsiTheme="minorEastAsia"/>
          <w:b/>
          <w:color w:val="C00000"/>
          <w:sz w:val="30"/>
          <w:szCs w:val="30"/>
        </w:rPr>
      </w:pP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【学习模式】</w:t>
      </w:r>
    </w:p>
    <w:p>
      <w:pPr>
        <w:rPr>
          <w:rFonts w:ascii="微软雅黑" w:hAnsi="微软雅黑" w:eastAsia="微软雅黑" w:cs="微软雅黑"/>
          <w:b/>
          <w:color w:val="C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C00000"/>
          <w:sz w:val="24"/>
          <w:szCs w:val="24"/>
        </w:rPr>
        <w:t xml:space="preserve"> 线上+线下 双重学习方式结合</w:t>
      </w:r>
    </w:p>
    <w:tbl>
      <w:tblPr>
        <w:tblStyle w:val="9"/>
        <w:tblW w:w="10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8"/>
        <w:gridCol w:w="1604"/>
        <w:gridCol w:w="71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308" w:type="dxa"/>
            <w:shd w:val="clear" w:color="auto" w:fill="11494A"/>
            <w:vAlign w:val="center"/>
          </w:tcPr>
          <w:p>
            <w:pPr>
              <w:pStyle w:val="13"/>
              <w:spacing w:line="380" w:lineRule="exact"/>
              <w:ind w:firstLine="0" w:firstLineChars="0"/>
              <w:jc w:val="center"/>
              <w:rPr>
                <w:rFonts w:ascii="微软雅黑" w:hAnsi="微软雅黑" w:eastAsia="微软雅黑" w:cs="Times New Roman"/>
                <w:b/>
                <w:color w:val="11494A"/>
                <w:sz w:val="24"/>
                <w:szCs w:val="30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FFFFFF" w:themeColor="background1"/>
                <w:kern w:val="0"/>
                <w:sz w:val="22"/>
                <w:szCs w:val="28"/>
                <w14:textFill>
                  <w14:solidFill>
                    <w14:schemeClr w14:val="bg1"/>
                  </w14:solidFill>
                </w14:textFill>
              </w:rPr>
              <w:t>学习方式</w:t>
            </w:r>
          </w:p>
        </w:tc>
        <w:tc>
          <w:tcPr>
            <w:tcW w:w="1604" w:type="dxa"/>
            <w:shd w:val="clear" w:color="auto" w:fill="11494A"/>
            <w:vAlign w:val="center"/>
          </w:tcPr>
          <w:p>
            <w:pPr>
              <w:spacing w:line="380" w:lineRule="exact"/>
              <w:ind w:firstLine="240" w:firstLineChars="100"/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学习主题</w:t>
            </w:r>
          </w:p>
        </w:tc>
        <w:tc>
          <w:tcPr>
            <w:tcW w:w="7107" w:type="dxa"/>
            <w:shd w:val="clear" w:color="auto" w:fill="11494A"/>
            <w:vAlign w:val="center"/>
          </w:tcPr>
          <w:p>
            <w:pPr>
              <w:pStyle w:val="13"/>
              <w:spacing w:line="380" w:lineRule="exact"/>
              <w:ind w:firstLine="0" w:firstLineChars="0"/>
              <w:jc w:val="center"/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相关内容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8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color w:val="11494A"/>
                <w:sz w:val="24"/>
                <w:szCs w:val="30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11494A"/>
                <w:sz w:val="24"/>
                <w:szCs w:val="30"/>
              </w:rPr>
              <w:t>线上学习</w:t>
            </w:r>
          </w:p>
        </w:tc>
        <w:tc>
          <w:tcPr>
            <w:tcW w:w="1604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szCs w:val="21"/>
              </w:rPr>
              <w:t>课程学习</w:t>
            </w:r>
          </w:p>
        </w:tc>
        <w:tc>
          <w:tcPr>
            <w:tcW w:w="7107" w:type="dxa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</w:rPr>
              <w:t>每周1-2次直播课程学习，共65小时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8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b/>
                <w:color w:val="11494A"/>
                <w:sz w:val="24"/>
                <w:szCs w:val="30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szCs w:val="21"/>
              </w:rPr>
              <w:t>辅修知识</w:t>
            </w:r>
          </w:p>
        </w:tc>
        <w:tc>
          <w:tcPr>
            <w:tcW w:w="7107" w:type="dxa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</w:rPr>
              <w:t>平台不定期推出最新政策解读和行业大咖观点类课程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8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b/>
                <w:color w:val="11494A"/>
                <w:sz w:val="24"/>
                <w:szCs w:val="30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szCs w:val="21"/>
              </w:rPr>
              <w:t>考评测验</w:t>
            </w:r>
          </w:p>
        </w:tc>
        <w:tc>
          <w:tcPr>
            <w:tcW w:w="7107" w:type="dxa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</w:rPr>
              <w:t>每月针对所学内容组织考试测评，促进知识吸收与落地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8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b/>
                <w:color w:val="11494A"/>
                <w:sz w:val="24"/>
                <w:szCs w:val="30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szCs w:val="21"/>
              </w:rPr>
              <w:t>专题研讨</w:t>
            </w:r>
          </w:p>
        </w:tc>
        <w:tc>
          <w:tcPr>
            <w:tcW w:w="7107" w:type="dxa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</w:rPr>
              <w:t>不定期组织行业专家和学员进行闭门研讨，解决工作具体问题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8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color w:val="11494A"/>
                <w:sz w:val="24"/>
                <w:szCs w:val="30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11494A"/>
                <w:sz w:val="24"/>
                <w:szCs w:val="30"/>
              </w:rPr>
              <w:t>线下学习</w:t>
            </w:r>
          </w:p>
        </w:tc>
        <w:tc>
          <w:tcPr>
            <w:tcW w:w="1604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szCs w:val="21"/>
              </w:rPr>
              <w:t>学院活动</w:t>
            </w:r>
          </w:p>
        </w:tc>
        <w:tc>
          <w:tcPr>
            <w:tcW w:w="7107" w:type="dxa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</w:rPr>
              <w:t>参加商学院开学及结业典礼，专家分析宏观形势，研判行业发展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 w:val="24"/>
                <w:szCs w:val="30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szCs w:val="21"/>
              </w:rPr>
              <w:t>地产论坛</w:t>
            </w:r>
          </w:p>
        </w:tc>
        <w:tc>
          <w:tcPr>
            <w:tcW w:w="7107" w:type="dxa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</w:rPr>
              <w:t>参加北京大学年度房地产创新经济论坛，邀请行业大咖发声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 w:val="24"/>
                <w:szCs w:val="30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szCs w:val="21"/>
              </w:rPr>
              <w:t>项目参访</w:t>
            </w:r>
          </w:p>
        </w:tc>
        <w:tc>
          <w:tcPr>
            <w:tcW w:w="7107" w:type="dxa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</w:rPr>
              <w:t>同学项目考察交流，互相学习，共同提升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 w:val="24"/>
                <w:szCs w:val="30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b/>
                <w:szCs w:val="21"/>
              </w:rPr>
              <w:t>资源互动</w:t>
            </w:r>
          </w:p>
        </w:tc>
        <w:tc>
          <w:tcPr>
            <w:tcW w:w="7107" w:type="dxa"/>
            <w:shd w:val="clear" w:color="auto" w:fill="auto"/>
          </w:tcPr>
          <w:p>
            <w:pPr>
              <w:rPr>
                <w:rFonts w:ascii="微软雅黑" w:hAnsi="微软雅黑" w:eastAsia="微软雅黑" w:cs="Times New Roman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</w:rPr>
              <w:t>不定期组织区域同学交流会和跨区域同学联谊会，土地、资源、人脉等资源交流互动</w:t>
            </w:r>
          </w:p>
        </w:tc>
      </w:tr>
    </w:tbl>
    <w:p>
      <w:pPr>
        <w:rPr>
          <w:rFonts w:asciiTheme="minorEastAsia" w:hAnsiTheme="minorEastAsia"/>
          <w:b/>
          <w:color w:val="C00000"/>
          <w:sz w:val="30"/>
          <w:szCs w:val="30"/>
        </w:rPr>
      </w:pP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【核心师资】</w:t>
      </w:r>
    </w:p>
    <w:p>
      <w:pPr>
        <w:widowControl/>
        <w:tabs>
          <w:tab w:val="left" w:pos="900"/>
        </w:tabs>
        <w:spacing w:before="156" w:beforeLines="50" w:after="156" w:afterLines="50"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 xml:space="preserve">董志勇 </w:t>
      </w:r>
      <w:r>
        <w:rPr>
          <w:rFonts w:hint="eastAsia" w:ascii="微软雅黑" w:hAnsi="微软雅黑" w:eastAsia="微软雅黑" w:cs="微软雅黑"/>
          <w:sz w:val="24"/>
          <w:szCs w:val="24"/>
        </w:rPr>
        <w:t>北京大学经济学院党委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书记</w:t>
      </w:r>
      <w:r>
        <w:rPr>
          <w:rFonts w:hint="eastAsia" w:ascii="微软雅黑" w:hAnsi="微软雅黑" w:eastAsia="微软雅黑" w:cs="微软雅黑"/>
          <w:sz w:val="24"/>
          <w:szCs w:val="24"/>
        </w:rPr>
        <w:t>、院长</w:t>
      </w:r>
    </w:p>
    <w:p>
      <w:pPr>
        <w:widowControl/>
        <w:tabs>
          <w:tab w:val="left" w:pos="900"/>
        </w:tabs>
        <w:spacing w:before="156" w:beforeLines="50" w:after="156" w:afterLines="50" w:line="360" w:lineRule="auto"/>
        <w:jc w:val="left"/>
        <w:rPr>
          <w:rFonts w:ascii="微软雅黑" w:hAnsi="微软雅黑" w:eastAsia="微软雅黑" w:cs="微软雅黑"/>
          <w:b/>
          <w:color w:val="852024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 xml:space="preserve">秦  虹 </w:t>
      </w:r>
      <w:r>
        <w:rPr>
          <w:rFonts w:hint="eastAsia" w:ascii="微软雅黑" w:hAnsi="微软雅黑" w:eastAsia="微软雅黑" w:cs="微软雅黑"/>
          <w:sz w:val="24"/>
          <w:szCs w:val="24"/>
        </w:rPr>
        <w:t>中国人民大学教授，原住建部政策研究中心主任</w:t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谢老师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房地产战略与组织变革专家，知名房地产咨询机构董事长</w:t>
      </w:r>
    </w:p>
    <w:p>
      <w:pPr>
        <w:widowControl/>
        <w:tabs>
          <w:tab w:val="left" w:pos="900"/>
        </w:tabs>
        <w:spacing w:before="156" w:beforeLines="50" w:after="156" w:afterLines="50" w:line="360" w:lineRule="auto"/>
        <w:jc w:val="left"/>
        <w:rPr>
          <w:rFonts w:ascii="微软雅黑" w:hAnsi="微软雅黑" w:eastAsia="微软雅黑" w:cs="微软雅黑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 xml:space="preserve">凌老师 </w:t>
      </w:r>
      <w:r>
        <w:rPr>
          <w:rFonts w:hint="eastAsia" w:ascii="微软雅黑" w:hAnsi="微软雅黑" w:eastAsia="微软雅黑" w:cs="微软雅黑"/>
          <w:sz w:val="24"/>
          <w:szCs w:val="24"/>
          <w:shd w:val="clear" w:color="auto" w:fill="FFFFFF"/>
        </w:rPr>
        <w:t>原碧桂园区域投拓总，现任TOP30房企集团投拓负责人</w:t>
      </w:r>
    </w:p>
    <w:p>
      <w:pPr>
        <w:widowControl/>
        <w:tabs>
          <w:tab w:val="left" w:pos="900"/>
        </w:tabs>
        <w:spacing w:before="156" w:beforeLines="50" w:after="156" w:afterLines="50" w:line="360" w:lineRule="auto"/>
        <w:jc w:val="left"/>
        <w:rPr>
          <w:rFonts w:ascii="微软雅黑" w:hAnsi="微软雅黑" w:eastAsia="微软雅黑" w:cs="微软雅黑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郭老师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shd w:val="clear" w:color="auto" w:fill="FFFFFF"/>
        </w:rPr>
        <w:t>中国城市综合开发及房地产开发运营专家。</w:t>
      </w:r>
    </w:p>
    <w:p>
      <w:pPr>
        <w:spacing w:line="360" w:lineRule="auto"/>
        <w:rPr>
          <w:rFonts w:ascii="微软雅黑" w:hAnsi="微软雅黑" w:eastAsia="微软雅黑" w:cs="微软雅黑"/>
          <w:color w:val="333333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孙老师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333333"/>
          <w:sz w:val="24"/>
          <w:szCs w:val="24"/>
          <w:shd w:val="clear" w:color="auto" w:fill="FFFFFF"/>
        </w:rPr>
        <w:t>原碧桂园、荣盛土地投拓总</w:t>
      </w:r>
    </w:p>
    <w:p>
      <w:pPr>
        <w:spacing w:line="360" w:lineRule="auto"/>
        <w:rPr>
          <w:rFonts w:ascii="微软雅黑" w:hAnsi="微软雅黑" w:eastAsia="微软雅黑" w:cs="微软雅黑"/>
          <w:color w:val="333333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刘老师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333333"/>
          <w:sz w:val="24"/>
          <w:szCs w:val="24"/>
          <w:shd w:val="clear" w:color="auto" w:fill="FFFFFF"/>
        </w:rPr>
        <w:t>资深物业管理及多种经营顾问、专家</w:t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color w:val="333333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许老师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原万科集团运营高管，现任2</w:t>
      </w:r>
      <w:r>
        <w:rPr>
          <w:rFonts w:ascii="微软雅黑" w:hAnsi="微软雅黑" w:eastAsia="微软雅黑" w:cs="微软雅黑"/>
          <w:sz w:val="24"/>
          <w:szCs w:val="24"/>
        </w:rPr>
        <w:t>00亿规模房企运营副总裁</w:t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color w:val="333333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姜老师</w:t>
      </w:r>
      <w:r>
        <w:rPr>
          <w:rFonts w:hint="eastAsia" w:ascii="微软雅黑" w:hAnsi="微软雅黑" w:eastAsia="微软雅黑" w:cs="微软雅黑"/>
          <w:b/>
          <w:color w:val="852024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333333"/>
          <w:sz w:val="24"/>
          <w:szCs w:val="24"/>
          <w:shd w:val="clear" w:color="auto" w:fill="FFFFFF"/>
        </w:rPr>
        <w:t>原万科物业负责人、资深物业管理专家</w:t>
      </w:r>
    </w:p>
    <w:p>
      <w:pPr>
        <w:spacing w:line="360" w:lineRule="auto"/>
        <w:rPr>
          <w:rFonts w:ascii="微软雅黑" w:hAnsi="微软雅黑" w:eastAsia="微软雅黑" w:cs="微软雅黑"/>
          <w:color w:val="333333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李老师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333333"/>
          <w:sz w:val="24"/>
          <w:szCs w:val="24"/>
          <w:shd w:val="clear" w:color="auto" w:fill="FFFFFF"/>
        </w:rPr>
        <w:t>原中海、万科、建业三大标杆房企工程总、项目总经理</w:t>
      </w:r>
    </w:p>
    <w:p>
      <w:pPr>
        <w:widowControl/>
        <w:tabs>
          <w:tab w:val="left" w:pos="900"/>
        </w:tabs>
        <w:spacing w:before="156" w:beforeLines="50" w:after="156" w:afterLines="50"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刘老师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原</w:t>
      </w:r>
      <w:r>
        <w:rPr>
          <w:rFonts w:hint="eastAsia" w:ascii="微软雅黑" w:hAnsi="微软雅黑" w:eastAsia="微软雅黑" w:cs="微软雅黑"/>
          <w:sz w:val="24"/>
        </w:rPr>
        <w:t>绿城集团工程总经理，常务副总（工程、设计、成本）</w:t>
      </w:r>
    </w:p>
    <w:p>
      <w:pPr>
        <w:widowControl/>
        <w:tabs>
          <w:tab w:val="left" w:pos="900"/>
        </w:tabs>
        <w:spacing w:before="156" w:beforeLines="50" w:after="156" w:afterLines="50" w:line="360" w:lineRule="auto"/>
        <w:jc w:val="left"/>
        <w:rPr>
          <w:rFonts w:ascii="微软雅黑" w:hAnsi="微软雅黑" w:eastAsia="微软雅黑" w:cs="微软雅黑"/>
          <w:b/>
          <w:color w:val="11494A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冉老师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原中海高管、资深领导力专家</w:t>
      </w:r>
    </w:p>
    <w:p>
      <w:pPr>
        <w:widowControl/>
        <w:tabs>
          <w:tab w:val="left" w:pos="900"/>
        </w:tabs>
        <w:spacing w:before="156" w:beforeLines="50" w:after="156" w:afterLines="50"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王老师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标准化设计管理与全过程设计优化资深专家</w:t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赵老师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shd w:val="clear" w:color="auto" w:fill="FFFFFF"/>
        </w:rPr>
        <w:t>曾任万达、宝龙及上实集团成本中心总经理</w:t>
      </w:r>
    </w:p>
    <w:p>
      <w:pPr>
        <w:widowControl/>
        <w:tabs>
          <w:tab w:val="left" w:pos="900"/>
        </w:tabs>
        <w:spacing w:before="156" w:beforeLines="50" w:after="156" w:afterLines="50" w:line="360" w:lineRule="auto"/>
        <w:jc w:val="left"/>
        <w:rPr>
          <w:rFonts w:ascii="微软雅黑" w:hAnsi="微软雅黑" w:eastAsia="微软雅黑" w:cs="微软雅黑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1494A"/>
          <w:sz w:val="24"/>
          <w:szCs w:val="24"/>
        </w:rPr>
        <w:t>沈老师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shd w:val="clear" w:color="auto" w:fill="FFFFFF"/>
        </w:rPr>
        <w:t>曾任万科集团、华润集团项目总</w:t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11494A"/>
          <w:sz w:val="24"/>
          <w:szCs w:val="24"/>
        </w:rPr>
        <w:t>武老师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房地产实力派财税专家</w:t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11494A"/>
          <w:sz w:val="24"/>
          <w:szCs w:val="24"/>
        </w:rPr>
        <w:t>谯老师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一二级联动及政府关系维护实战专家</w:t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【招生对象】</w:t>
      </w:r>
    </w:p>
    <w:p>
      <w:pPr>
        <w:pStyle w:val="21"/>
        <w:ind w:firstLine="48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房地产企业董事长、总经理，项目总经理，项目副总、工程/营销/投拓/运营/成本/设计/财务等条线储备项目总人才等</w:t>
      </w:r>
    </w:p>
    <w:p>
      <w:pPr>
        <w:widowControl/>
        <w:spacing w:line="360" w:lineRule="auto"/>
        <w:jc w:val="left"/>
        <w:rPr>
          <w:rFonts w:cs="Arial" w:asciiTheme="minorEastAsia" w:hAnsiTheme="minorEastAsia"/>
          <w:color w:val="333333"/>
          <w:sz w:val="24"/>
          <w:szCs w:val="24"/>
          <w:shd w:val="clear" w:color="auto" w:fill="FFFFFF"/>
        </w:rPr>
      </w:pP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【教务信息】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  <w:lang w:val="en-US" w:eastAsia="zh-CN"/>
        </w:rPr>
        <w:t>学制</w:t>
      </w: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  <w:t>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年，高景云APP线上学习+线下学习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  <w:t>线下面授课程：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1次开学典礼，一次房地产行业论坛，不定期线下参访、考察、交流活动。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  <w:t>线上直播课程：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每周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-2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次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，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每次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1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.5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-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学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时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，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共计65学时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，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学习期内无限次回放巩固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。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  <w:t>线上录播课程：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6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次行业最新观点课程，学习期内无限次学习。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  <w:t>学习费用：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12</w:t>
      </w:r>
      <w:r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  <w:t>800元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/人（包括：报名费、学费、资料费、考试费、教学管理费，其他费用自理）</w:t>
      </w:r>
    </w:p>
    <w:p>
      <w:pPr>
        <w:pStyle w:val="21"/>
        <w:ind w:firstLine="480"/>
        <w:rPr>
          <w:rFonts w:ascii="微软雅黑" w:hAnsi="微软雅黑" w:eastAsia="微软雅黑" w:cs="微软雅黑"/>
          <w:b/>
          <w:color w:val="00484E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  <w:t>畅享价：团报更优惠</w:t>
      </w:r>
    </w:p>
    <w:p>
      <w:pPr>
        <w:pStyle w:val="21"/>
        <w:numPr>
          <w:ilvl w:val="0"/>
          <w:numId w:val="3"/>
        </w:numPr>
        <w:ind w:firstLineChars="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5-10人（含10人）团报，畅享团报学习价8000元/人；</w:t>
      </w:r>
    </w:p>
    <w:p>
      <w:pPr>
        <w:pStyle w:val="21"/>
        <w:numPr>
          <w:ilvl w:val="0"/>
          <w:numId w:val="3"/>
        </w:numPr>
        <w:ind w:firstLineChars="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10-30人（含30人）团报，畅享团报学习价6000元/人；</w:t>
      </w:r>
    </w:p>
    <w:p>
      <w:pPr>
        <w:pStyle w:val="21"/>
        <w:numPr>
          <w:ilvl w:val="0"/>
          <w:numId w:val="3"/>
        </w:numPr>
        <w:ind w:firstLineChars="0"/>
        <w:rPr>
          <w:rFonts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30人以上团报，畅享团报学习价4000元/人；</w:t>
      </w:r>
    </w:p>
    <w:p>
      <w:p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团报优惠价与企业卡折扣价不可同时享受优惠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  <w:lang w:val="en-US" w:eastAsia="zh-CN"/>
        </w:rPr>
        <w:t>顾问老师</w:t>
      </w:r>
      <w:r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  <w:t>：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</w:pPr>
    </w:p>
    <w:p>
      <w:pPr>
        <w:ind w:left="420" w:leftChars="200"/>
        <w:rPr>
          <w:rFonts w:hint="eastAsia" w:ascii="微软雅黑" w:hAnsi="微软雅黑" w:eastAsia="微软雅黑" w:cs="微软雅黑"/>
          <w:b/>
          <w:color w:val="00484E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【</w:t>
      </w: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:lang w:val="en-US" w:eastAsia="zh-CN"/>
          <w14:reflection w14:blurRad="6350" w14:stA="55000" w14:stPos="0" w14:endA="300" w14:endPos="45500" w14:dist="0" w14:dir="5400000" w14:fadeDir="5400000" w14:sx="100000" w14:sy="-100000" w14:kx="0" w14:ky="0" w14:algn="bl"/>
        </w:rPr>
        <w:t>往届项目总学员分享+议题探讨摘录</w:t>
      </w:r>
      <w:r>
        <w:rPr>
          <w:rFonts w:hint="eastAsia" w:ascii="微软雅黑" w:hAnsi="微软雅黑" w:eastAsia="微软雅黑" w:cs="微软雅黑"/>
          <w:b/>
          <w:color w:val="00484E"/>
          <w:sz w:val="30"/>
          <w:szCs w:val="30"/>
          <w14:reflection w14:blurRad="6350" w14:stA="55000" w14:stPos="0" w14:endA="300" w14:endPos="45500" w14:dist="0" w14:dir="5400000" w14:fadeDir="5400000" w14:sx="100000" w14:sy="-100000" w14:kx="0" w14:ky="0" w14:algn="bl"/>
        </w:rPr>
        <w:t>】</w:t>
      </w:r>
    </w:p>
    <w:p>
      <w:pPr>
        <w:ind w:firstLine="480" w:firstLineChars="200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项目启动会与会议地图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</w:rPr>
        <w:t>学习心得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----和昌地产学员</w:t>
      </w:r>
    </w:p>
    <w:p>
      <w:pPr>
        <w:numPr>
          <w:ilvl w:val="0"/>
          <w:numId w:val="4"/>
        </w:num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不同地产公司启动会会有差异：快周转侧重产品标准化，龙湖则强调品质。</w:t>
      </w:r>
    </w:p>
    <w:p>
      <w:pPr>
        <w:numPr>
          <w:ilvl w:val="0"/>
          <w:numId w:val="4"/>
        </w:num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启动会的三个阶段：交底会、过程研讨会、决策会。</w:t>
      </w:r>
    </w:p>
    <w:p>
      <w:pPr>
        <w:numPr>
          <w:ilvl w:val="0"/>
          <w:numId w:val="4"/>
        </w:num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交底会目的与重点：初步确定目标、前期部门对项目管理进行交底、对项目初步排雷、给各部门布置后续启动会任务。</w:t>
      </w:r>
    </w:p>
    <w:p>
      <w:pPr>
        <w:numPr>
          <w:ilvl w:val="0"/>
          <w:numId w:val="4"/>
        </w:numPr>
        <w:ind w:left="420" w:leftChars="200"/>
        <w:rPr>
          <w:rFonts w:hint="default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交底会的四个核心：技术交底、目标指标、界定分工、团队组建；</w:t>
      </w:r>
    </w:p>
    <w:p>
      <w:pPr>
        <w:ind w:firstLine="480" w:firstLineChars="200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产品力提升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</w:rPr>
        <w:t>学习心得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----宏维置业学员</w:t>
      </w:r>
    </w:p>
    <w:p>
      <w:pPr>
        <w:numPr>
          <w:ilvl w:val="0"/>
          <w:numId w:val="0"/>
        </w:numPr>
        <w:ind w:left="479" w:leftChars="228" w:firstLine="0" w:firstLineChars="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1、项目设计定位，总图规划直接决定了项目总成本的一半，也基本决定了后期物业管理成本。说明项目定位和总图规划在项目开发中极其重要，是项目成功与否的关键因素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。</w:t>
      </w:r>
    </w:p>
    <w:p>
      <w:pPr>
        <w:numPr>
          <w:ilvl w:val="0"/>
          <w:numId w:val="0"/>
        </w:numPr>
        <w:ind w:left="479" w:leftChars="228" w:firstLine="0" w:firstLineChars="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2、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计划体系在标准工期的框架内重在执行，可适时调整部分计划节点，但关键节点不容有误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。</w:t>
      </w:r>
    </w:p>
    <w:p>
      <w:pPr>
        <w:ind w:firstLine="480" w:firstLineChars="200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降本增效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</w:rPr>
        <w:t>学习心得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----鑫海森地产学员</w:t>
      </w:r>
    </w:p>
    <w:p>
      <w:p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通过学习对项目开发计划、成本、财务有了系统的了解：</w:t>
      </w:r>
    </w:p>
    <w:p>
      <w:pPr>
        <w:numPr>
          <w:ilvl w:val="0"/>
          <w:numId w:val="5"/>
        </w:num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项目计划必须逻辑关系清晰，节点系统全面，主次分明、层次清楚，关键节点准确。</w:t>
      </w:r>
    </w:p>
    <w:p>
      <w:pPr>
        <w:numPr>
          <w:ilvl w:val="0"/>
          <w:numId w:val="5"/>
        </w:numPr>
        <w:ind w:left="420" w:leftChars="200"/>
        <w:rPr>
          <w:rFonts w:hint="default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执行PDCA管理模式才可确保计划的实现。</w:t>
      </w:r>
    </w:p>
    <w:p>
      <w:pPr>
        <w:numPr>
          <w:ilvl w:val="0"/>
          <w:numId w:val="5"/>
        </w:numPr>
        <w:ind w:left="420" w:leftChars="200"/>
        <w:rPr>
          <w:rFonts w:hint="default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成本控制前期设计是关键，即先“先策后控”、前置、前置、再前置。</w:t>
      </w:r>
    </w:p>
    <w:p>
      <w:pPr>
        <w:numPr>
          <w:ilvl w:val="0"/>
          <w:numId w:val="5"/>
        </w:numPr>
        <w:ind w:left="420" w:leftChars="200"/>
        <w:rPr>
          <w:rFonts w:hint="default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“手中有粮，心中不慌”，现金流平衡是项目正常运转的保障。</w:t>
      </w:r>
    </w:p>
    <w:p>
      <w:pPr>
        <w:ind w:firstLine="480" w:firstLineChars="200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招采及合规规划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</w:rPr>
        <w:t>学习心得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----宝荣地产学员</w:t>
      </w:r>
    </w:p>
    <w:p>
      <w:p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1、招采有效性是为了满足开发进度、成本及公司发展需要。为了保证其有效性：流程优化,审批超48小时，流程自动跳过；流程对逾期情况及人员进行统计并处理；经办人跟踪，必要时请项目总或高层协调。</w:t>
      </w:r>
    </w:p>
    <w:p>
      <w:p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2、合约规划最主要作用：将目标成本、合同和招采打通。通过目标成本编审，将目标成本分解到合约规划，相关责任部门执行责任范围内的招采与费用事项。</w:t>
      </w:r>
    </w:p>
    <w:p>
      <w:pPr>
        <w:ind w:firstLine="480" w:firstLineChars="200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领导力提升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</w:rPr>
        <w:t>学习心得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----威高地产学员</w:t>
      </w:r>
    </w:p>
    <w:p>
      <w:p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1、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点燃自己、带动他人、既定目标是领导力的内涵，通过群策群力，头脑风暴等方式提升团队协作能力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。</w:t>
      </w:r>
    </w:p>
    <w:p>
      <w:p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2、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可持续有质量增长的项目开发体系，不单单在项目经营层面，更要在管理优化层面，提高自己的综合管控能力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。</w:t>
      </w:r>
    </w:p>
    <w:p>
      <w:pPr>
        <w:ind w:left="479" w:leftChars="228" w:firstLine="0" w:firstLineChars="0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议题探讨：开发概算中，综合税费一般按百分之十几算？（含营业税、所得说、土增、契税等）----项目总学员</w:t>
      </w:r>
    </w:p>
    <w:p>
      <w:p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建议：正常项目15%左右，要看项目本身的特点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根据每个项目的不同来进行计算，不是硬性比例的问题。高端项目受土增影响较大，也有超过20%的，做好税务筹划很重要。</w:t>
      </w:r>
    </w:p>
    <w:p>
      <w:pPr>
        <w:ind w:left="479" w:leftChars="228" w:firstLine="0" w:firstLineChars="0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4"/>
          <w:szCs w:val="24"/>
          <w:lang w:val="en-US" w:eastAsia="zh-CN"/>
        </w:rPr>
        <w:t>议题探讨：因现场签证变更，让施工单位钻空子，最后发现是甲方管理不到位，有什么好的措施？----项目总学员</w:t>
      </w:r>
    </w:p>
    <w:p>
      <w:pPr>
        <w:ind w:left="420" w:leftChars="200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建议一：把成本相关的流程、制度落实到位，流程先，施工后，好多都是因为流程滞后的原因，完全落到位相对比较困难，可以先要求落到70-80%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t>。</w:t>
      </w:r>
    </w:p>
    <w:p>
      <w:pPr>
        <w:ind w:left="420" w:leftChars="200"/>
        <w:rPr>
          <w:rFonts w:hint="default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val="en-US" w:eastAsia="zh-CN"/>
        </w:rPr>
        <w:t>建议二：首先对可能产生的变更签证要有预见性，建议成立审计监察部门。一人为私，两人为公，三人为众，签证必须由审计监察部门参与。</w:t>
      </w:r>
    </w:p>
    <w:p>
      <w:pPr>
        <w:tabs>
          <w:tab w:val="left" w:pos="360"/>
        </w:tabs>
        <w:snapToGrid w:val="0"/>
        <w:spacing w:line="400" w:lineRule="exact"/>
        <w:rPr>
          <w:rFonts w:hint="default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4"/>
          <w:szCs w:val="24"/>
          <w:lang w:val="en-US" w:eastAsia="zh-CN"/>
        </w:rPr>
        <w:t xml:space="preserve"> ........................................................................................................................</w:t>
      </w:r>
    </w:p>
    <w:p>
      <w:pPr>
        <w:tabs>
          <w:tab w:val="left" w:pos="360"/>
        </w:tabs>
        <w:snapToGrid w:val="0"/>
        <w:spacing w:line="400" w:lineRule="exact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 xml:space="preserve">   报名电话 13488893598/13488823518 刘老师</w:t>
      </w:r>
    </w:p>
    <w:p>
      <w:pPr>
        <w:tabs>
          <w:tab w:val="left" w:pos="360"/>
        </w:tabs>
        <w:snapToGrid w:val="0"/>
        <w:spacing w:line="400" w:lineRule="exact"/>
        <w:rPr>
          <w:rFonts w:hint="default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 xml:space="preserve">   咨询微信：13488893598 刘老师</w:t>
      </w:r>
      <w:bookmarkStart w:id="0" w:name="_GoBack"/>
      <w:bookmarkEnd w:id="0"/>
    </w:p>
    <w:p>
      <w:pPr>
        <w:tabs>
          <w:tab w:val="left" w:pos="360"/>
        </w:tabs>
        <w:snapToGrid w:val="0"/>
        <w:spacing w:line="400" w:lineRule="exact"/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</w:p>
    <w:p>
      <w:pPr>
        <w:tabs>
          <w:tab w:val="left" w:pos="360"/>
        </w:tabs>
        <w:snapToGrid w:val="0"/>
        <w:spacing w:line="400" w:lineRule="exact"/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</w:p>
    <w:p>
      <w:pPr>
        <w:tabs>
          <w:tab w:val="left" w:pos="360"/>
        </w:tabs>
        <w:snapToGrid w:val="0"/>
        <w:spacing w:line="400" w:lineRule="exact"/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</w:p>
    <w:p>
      <w:pPr>
        <w:tabs>
          <w:tab w:val="left" w:pos="360"/>
        </w:tabs>
        <w:snapToGrid w:val="0"/>
        <w:spacing w:line="400" w:lineRule="exact"/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-2509520</wp:posOffset>
            </wp:positionV>
            <wp:extent cx="7864475" cy="10744200"/>
            <wp:effectExtent l="0" t="0" r="14605" b="0"/>
            <wp:wrapTopAndBottom/>
            <wp:docPr id="5" name="图片 5" descr="项目总印刷简章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项目总印刷简章5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447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Songti SC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-316230</wp:posOffset>
          </wp:positionV>
          <wp:extent cx="7601585" cy="568325"/>
          <wp:effectExtent l="0" t="0" r="3175" b="10795"/>
          <wp:wrapTopAndBottom/>
          <wp:docPr id="3" name="图片 3" descr="45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4546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568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3423D0"/>
    <w:multiLevelType w:val="singleLevel"/>
    <w:tmpl w:val="F03423D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0B65496"/>
    <w:multiLevelType w:val="multilevel"/>
    <w:tmpl w:val="10B65496"/>
    <w:lvl w:ilvl="0" w:tentative="0">
      <w:start w:val="1"/>
      <w:numFmt w:val="bullet"/>
      <w:lvlText w:val="R"/>
      <w:lvlJc w:val="left"/>
      <w:pPr>
        <w:ind w:left="840" w:hanging="420"/>
      </w:pPr>
      <w:rPr>
        <w:rFonts w:hint="default" w:ascii="Wingdings 2" w:hAnsi="Wingdings 2" w:eastAsia="宋体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309C0D8F"/>
    <w:multiLevelType w:val="multilevel"/>
    <w:tmpl w:val="309C0D8F"/>
    <w:lvl w:ilvl="0" w:tentative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6E026D"/>
    <w:multiLevelType w:val="multilevel"/>
    <w:tmpl w:val="356E026D"/>
    <w:lvl w:ilvl="0" w:tentative="0">
      <w:start w:val="1"/>
      <w:numFmt w:val="bullet"/>
      <w:lvlText w:val="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D7B1EDC"/>
    <w:multiLevelType w:val="singleLevel"/>
    <w:tmpl w:val="4D7B1ED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EC"/>
    <w:rsid w:val="00004613"/>
    <w:rsid w:val="00021797"/>
    <w:rsid w:val="00022391"/>
    <w:rsid w:val="000233E2"/>
    <w:rsid w:val="000248EE"/>
    <w:rsid w:val="0003452A"/>
    <w:rsid w:val="00051660"/>
    <w:rsid w:val="00055875"/>
    <w:rsid w:val="0007053F"/>
    <w:rsid w:val="00081143"/>
    <w:rsid w:val="000814DA"/>
    <w:rsid w:val="00083F6C"/>
    <w:rsid w:val="000A44CA"/>
    <w:rsid w:val="000B2B51"/>
    <w:rsid w:val="000C4BF3"/>
    <w:rsid w:val="000D129A"/>
    <w:rsid w:val="000E3603"/>
    <w:rsid w:val="000F50C3"/>
    <w:rsid w:val="000F5345"/>
    <w:rsid w:val="0010262C"/>
    <w:rsid w:val="00103A5F"/>
    <w:rsid w:val="00111654"/>
    <w:rsid w:val="00116572"/>
    <w:rsid w:val="00121EEA"/>
    <w:rsid w:val="001223D3"/>
    <w:rsid w:val="001300B2"/>
    <w:rsid w:val="00144B44"/>
    <w:rsid w:val="00156581"/>
    <w:rsid w:val="00160A5F"/>
    <w:rsid w:val="0016627B"/>
    <w:rsid w:val="0016630B"/>
    <w:rsid w:val="0017760E"/>
    <w:rsid w:val="00184F83"/>
    <w:rsid w:val="001853AF"/>
    <w:rsid w:val="00187694"/>
    <w:rsid w:val="001B797A"/>
    <w:rsid w:val="001C2812"/>
    <w:rsid w:val="001C2E23"/>
    <w:rsid w:val="001C41B1"/>
    <w:rsid w:val="001D43C9"/>
    <w:rsid w:val="001D63E1"/>
    <w:rsid w:val="001D7ADC"/>
    <w:rsid w:val="001E2608"/>
    <w:rsid w:val="001E4FEA"/>
    <w:rsid w:val="001E5E00"/>
    <w:rsid w:val="001F4EC0"/>
    <w:rsid w:val="001F5C92"/>
    <w:rsid w:val="00203FB3"/>
    <w:rsid w:val="002057B8"/>
    <w:rsid w:val="00217F53"/>
    <w:rsid w:val="00221804"/>
    <w:rsid w:val="002227A3"/>
    <w:rsid w:val="002240E1"/>
    <w:rsid w:val="00231FDD"/>
    <w:rsid w:val="00245675"/>
    <w:rsid w:val="0025583B"/>
    <w:rsid w:val="0026272B"/>
    <w:rsid w:val="002658CC"/>
    <w:rsid w:val="00273C5D"/>
    <w:rsid w:val="002B6549"/>
    <w:rsid w:val="002B76C8"/>
    <w:rsid w:val="002B773A"/>
    <w:rsid w:val="002C7128"/>
    <w:rsid w:val="002D08DF"/>
    <w:rsid w:val="002D7C9F"/>
    <w:rsid w:val="002E19D8"/>
    <w:rsid w:val="002E3E3B"/>
    <w:rsid w:val="002F5FAA"/>
    <w:rsid w:val="00300E29"/>
    <w:rsid w:val="00315098"/>
    <w:rsid w:val="003309D7"/>
    <w:rsid w:val="003403E3"/>
    <w:rsid w:val="00340909"/>
    <w:rsid w:val="00352C08"/>
    <w:rsid w:val="00354DF1"/>
    <w:rsid w:val="00356EE7"/>
    <w:rsid w:val="0036097A"/>
    <w:rsid w:val="00372B25"/>
    <w:rsid w:val="0038466C"/>
    <w:rsid w:val="00387185"/>
    <w:rsid w:val="00387DF5"/>
    <w:rsid w:val="003946CD"/>
    <w:rsid w:val="003A0288"/>
    <w:rsid w:val="003A27D8"/>
    <w:rsid w:val="003A6DA0"/>
    <w:rsid w:val="003B482E"/>
    <w:rsid w:val="003D09B8"/>
    <w:rsid w:val="003D4671"/>
    <w:rsid w:val="003F2D5E"/>
    <w:rsid w:val="004023BE"/>
    <w:rsid w:val="00410173"/>
    <w:rsid w:val="00424A2B"/>
    <w:rsid w:val="00427734"/>
    <w:rsid w:val="00436EFE"/>
    <w:rsid w:val="00443918"/>
    <w:rsid w:val="00444163"/>
    <w:rsid w:val="00457882"/>
    <w:rsid w:val="0047673B"/>
    <w:rsid w:val="004809D6"/>
    <w:rsid w:val="00497061"/>
    <w:rsid w:val="004B7CDB"/>
    <w:rsid w:val="004C2306"/>
    <w:rsid w:val="004D1F34"/>
    <w:rsid w:val="004D4E61"/>
    <w:rsid w:val="004D61E0"/>
    <w:rsid w:val="004D702F"/>
    <w:rsid w:val="004F151A"/>
    <w:rsid w:val="005068A4"/>
    <w:rsid w:val="005078C6"/>
    <w:rsid w:val="005228AC"/>
    <w:rsid w:val="00537AF6"/>
    <w:rsid w:val="005444B7"/>
    <w:rsid w:val="00544932"/>
    <w:rsid w:val="00546022"/>
    <w:rsid w:val="00557206"/>
    <w:rsid w:val="005576A1"/>
    <w:rsid w:val="0057027D"/>
    <w:rsid w:val="00576677"/>
    <w:rsid w:val="0057778B"/>
    <w:rsid w:val="00583102"/>
    <w:rsid w:val="00585BA4"/>
    <w:rsid w:val="00590BDE"/>
    <w:rsid w:val="0059109B"/>
    <w:rsid w:val="0059751F"/>
    <w:rsid w:val="005A6BC1"/>
    <w:rsid w:val="005A6E92"/>
    <w:rsid w:val="005C05A7"/>
    <w:rsid w:val="005C1FB8"/>
    <w:rsid w:val="005C5177"/>
    <w:rsid w:val="005E0A5B"/>
    <w:rsid w:val="005E70B6"/>
    <w:rsid w:val="005F2109"/>
    <w:rsid w:val="00603FDF"/>
    <w:rsid w:val="00615B20"/>
    <w:rsid w:val="00623D63"/>
    <w:rsid w:val="0064229A"/>
    <w:rsid w:val="006432CE"/>
    <w:rsid w:val="006674BD"/>
    <w:rsid w:val="00683AE6"/>
    <w:rsid w:val="00684C1F"/>
    <w:rsid w:val="0069119A"/>
    <w:rsid w:val="00692B78"/>
    <w:rsid w:val="006A5649"/>
    <w:rsid w:val="006B36C7"/>
    <w:rsid w:val="006C50D0"/>
    <w:rsid w:val="006D1802"/>
    <w:rsid w:val="006D74EB"/>
    <w:rsid w:val="006E179B"/>
    <w:rsid w:val="006E31E7"/>
    <w:rsid w:val="006F2830"/>
    <w:rsid w:val="006F679F"/>
    <w:rsid w:val="0071126A"/>
    <w:rsid w:val="007263AF"/>
    <w:rsid w:val="00730836"/>
    <w:rsid w:val="0076525B"/>
    <w:rsid w:val="0077161C"/>
    <w:rsid w:val="00777ED3"/>
    <w:rsid w:val="007B351C"/>
    <w:rsid w:val="007B3C76"/>
    <w:rsid w:val="007C05AC"/>
    <w:rsid w:val="007C1824"/>
    <w:rsid w:val="007D05ED"/>
    <w:rsid w:val="007E3737"/>
    <w:rsid w:val="007F2D8F"/>
    <w:rsid w:val="007F35FB"/>
    <w:rsid w:val="007F46EC"/>
    <w:rsid w:val="007F7B6A"/>
    <w:rsid w:val="00801C07"/>
    <w:rsid w:val="008034FE"/>
    <w:rsid w:val="00811E6F"/>
    <w:rsid w:val="0081258C"/>
    <w:rsid w:val="008129D1"/>
    <w:rsid w:val="008206AF"/>
    <w:rsid w:val="008314CB"/>
    <w:rsid w:val="008369DC"/>
    <w:rsid w:val="0084234E"/>
    <w:rsid w:val="008443DB"/>
    <w:rsid w:val="00866D22"/>
    <w:rsid w:val="0087399A"/>
    <w:rsid w:val="008C4AC6"/>
    <w:rsid w:val="008C4FFD"/>
    <w:rsid w:val="008E0AFE"/>
    <w:rsid w:val="008E6B5E"/>
    <w:rsid w:val="008F35EF"/>
    <w:rsid w:val="008F63B3"/>
    <w:rsid w:val="008F71E5"/>
    <w:rsid w:val="00901292"/>
    <w:rsid w:val="0092015E"/>
    <w:rsid w:val="00942070"/>
    <w:rsid w:val="00942EB7"/>
    <w:rsid w:val="00950FB2"/>
    <w:rsid w:val="0095195A"/>
    <w:rsid w:val="00957BFA"/>
    <w:rsid w:val="00966B0A"/>
    <w:rsid w:val="00967325"/>
    <w:rsid w:val="00971293"/>
    <w:rsid w:val="009723A8"/>
    <w:rsid w:val="00972720"/>
    <w:rsid w:val="00986962"/>
    <w:rsid w:val="00990777"/>
    <w:rsid w:val="00991923"/>
    <w:rsid w:val="00993E66"/>
    <w:rsid w:val="00996A56"/>
    <w:rsid w:val="00997A3F"/>
    <w:rsid w:val="009A684E"/>
    <w:rsid w:val="009B4CE4"/>
    <w:rsid w:val="009B66C5"/>
    <w:rsid w:val="009B6915"/>
    <w:rsid w:val="009D0888"/>
    <w:rsid w:val="009D1D3F"/>
    <w:rsid w:val="009E0CB0"/>
    <w:rsid w:val="009E6867"/>
    <w:rsid w:val="00A0392B"/>
    <w:rsid w:val="00A06366"/>
    <w:rsid w:val="00A30938"/>
    <w:rsid w:val="00A709AB"/>
    <w:rsid w:val="00A712AE"/>
    <w:rsid w:val="00A9461B"/>
    <w:rsid w:val="00A95F96"/>
    <w:rsid w:val="00AB4702"/>
    <w:rsid w:val="00AB5240"/>
    <w:rsid w:val="00B05732"/>
    <w:rsid w:val="00B07A36"/>
    <w:rsid w:val="00B07B6B"/>
    <w:rsid w:val="00B11A4D"/>
    <w:rsid w:val="00B23666"/>
    <w:rsid w:val="00B3517F"/>
    <w:rsid w:val="00B36F5F"/>
    <w:rsid w:val="00B41C12"/>
    <w:rsid w:val="00B5092B"/>
    <w:rsid w:val="00B5795C"/>
    <w:rsid w:val="00B60ABB"/>
    <w:rsid w:val="00B64CDC"/>
    <w:rsid w:val="00B80BC8"/>
    <w:rsid w:val="00B8782F"/>
    <w:rsid w:val="00B93F8C"/>
    <w:rsid w:val="00BA5201"/>
    <w:rsid w:val="00BB2EB2"/>
    <w:rsid w:val="00BB5C98"/>
    <w:rsid w:val="00BB7E9F"/>
    <w:rsid w:val="00BC432C"/>
    <w:rsid w:val="00BD109D"/>
    <w:rsid w:val="00BE3388"/>
    <w:rsid w:val="00BF20FE"/>
    <w:rsid w:val="00BF5609"/>
    <w:rsid w:val="00C000CE"/>
    <w:rsid w:val="00C05C9E"/>
    <w:rsid w:val="00C12A4E"/>
    <w:rsid w:val="00C2195F"/>
    <w:rsid w:val="00C34EE6"/>
    <w:rsid w:val="00C40108"/>
    <w:rsid w:val="00C81372"/>
    <w:rsid w:val="00C92F34"/>
    <w:rsid w:val="00C95E1C"/>
    <w:rsid w:val="00C970E2"/>
    <w:rsid w:val="00CA2047"/>
    <w:rsid w:val="00CA4789"/>
    <w:rsid w:val="00CB77D7"/>
    <w:rsid w:val="00CC36BB"/>
    <w:rsid w:val="00CE603E"/>
    <w:rsid w:val="00CE6729"/>
    <w:rsid w:val="00CF107C"/>
    <w:rsid w:val="00CF13E9"/>
    <w:rsid w:val="00D00391"/>
    <w:rsid w:val="00D04E0E"/>
    <w:rsid w:val="00D14541"/>
    <w:rsid w:val="00D16328"/>
    <w:rsid w:val="00D40916"/>
    <w:rsid w:val="00D40FB1"/>
    <w:rsid w:val="00D418C1"/>
    <w:rsid w:val="00D465CA"/>
    <w:rsid w:val="00D65235"/>
    <w:rsid w:val="00D70DAA"/>
    <w:rsid w:val="00D73E5A"/>
    <w:rsid w:val="00D83675"/>
    <w:rsid w:val="00D874ED"/>
    <w:rsid w:val="00D915D7"/>
    <w:rsid w:val="00DA7C81"/>
    <w:rsid w:val="00DC41C8"/>
    <w:rsid w:val="00DF54C1"/>
    <w:rsid w:val="00DF5F0A"/>
    <w:rsid w:val="00E00346"/>
    <w:rsid w:val="00E01415"/>
    <w:rsid w:val="00E06C11"/>
    <w:rsid w:val="00E20DA6"/>
    <w:rsid w:val="00E31A64"/>
    <w:rsid w:val="00E328BC"/>
    <w:rsid w:val="00E32FC2"/>
    <w:rsid w:val="00E33C96"/>
    <w:rsid w:val="00E37E80"/>
    <w:rsid w:val="00E703FA"/>
    <w:rsid w:val="00E74F7D"/>
    <w:rsid w:val="00E75B4F"/>
    <w:rsid w:val="00E86DFC"/>
    <w:rsid w:val="00E93AC2"/>
    <w:rsid w:val="00E94857"/>
    <w:rsid w:val="00EB76EC"/>
    <w:rsid w:val="00EC2A25"/>
    <w:rsid w:val="00ED2DBA"/>
    <w:rsid w:val="00ED3E6A"/>
    <w:rsid w:val="00EE1B5A"/>
    <w:rsid w:val="00EF46C6"/>
    <w:rsid w:val="00EF5757"/>
    <w:rsid w:val="00EF7269"/>
    <w:rsid w:val="00F1206B"/>
    <w:rsid w:val="00F41CCF"/>
    <w:rsid w:val="00F438AB"/>
    <w:rsid w:val="00F43D3E"/>
    <w:rsid w:val="00F45412"/>
    <w:rsid w:val="00F575DE"/>
    <w:rsid w:val="00F66118"/>
    <w:rsid w:val="00F70A0B"/>
    <w:rsid w:val="00F71552"/>
    <w:rsid w:val="00F71BB1"/>
    <w:rsid w:val="00F802CD"/>
    <w:rsid w:val="00F83E4B"/>
    <w:rsid w:val="00F87435"/>
    <w:rsid w:val="00F944E7"/>
    <w:rsid w:val="00FB5292"/>
    <w:rsid w:val="00FD5E2A"/>
    <w:rsid w:val="00FE7757"/>
    <w:rsid w:val="00FF17A4"/>
    <w:rsid w:val="00FF544A"/>
    <w:rsid w:val="01282C60"/>
    <w:rsid w:val="020D2A56"/>
    <w:rsid w:val="02CE0858"/>
    <w:rsid w:val="03BD78E4"/>
    <w:rsid w:val="058827DF"/>
    <w:rsid w:val="05EF6895"/>
    <w:rsid w:val="07DB703A"/>
    <w:rsid w:val="084842AE"/>
    <w:rsid w:val="0A49504E"/>
    <w:rsid w:val="0A664EE1"/>
    <w:rsid w:val="0AAC7F94"/>
    <w:rsid w:val="0D5C04CD"/>
    <w:rsid w:val="0DC730C0"/>
    <w:rsid w:val="0ED65C02"/>
    <w:rsid w:val="0F346694"/>
    <w:rsid w:val="12E5404F"/>
    <w:rsid w:val="1442738C"/>
    <w:rsid w:val="15AE3304"/>
    <w:rsid w:val="17BF2FF5"/>
    <w:rsid w:val="1818601B"/>
    <w:rsid w:val="194160B8"/>
    <w:rsid w:val="1D52323F"/>
    <w:rsid w:val="1D826EB8"/>
    <w:rsid w:val="1E261857"/>
    <w:rsid w:val="1F077890"/>
    <w:rsid w:val="2090169E"/>
    <w:rsid w:val="20BC45E9"/>
    <w:rsid w:val="20EF721E"/>
    <w:rsid w:val="21B96787"/>
    <w:rsid w:val="229E4ADA"/>
    <w:rsid w:val="24920B75"/>
    <w:rsid w:val="24C371F1"/>
    <w:rsid w:val="2AB00221"/>
    <w:rsid w:val="2E177B36"/>
    <w:rsid w:val="303B0ADE"/>
    <w:rsid w:val="30B9376F"/>
    <w:rsid w:val="317B0245"/>
    <w:rsid w:val="31D0437B"/>
    <w:rsid w:val="327D5E2D"/>
    <w:rsid w:val="32D27F48"/>
    <w:rsid w:val="335E28CD"/>
    <w:rsid w:val="339F54F2"/>
    <w:rsid w:val="33AE0FFD"/>
    <w:rsid w:val="3402241E"/>
    <w:rsid w:val="347E790D"/>
    <w:rsid w:val="35271504"/>
    <w:rsid w:val="352E67CE"/>
    <w:rsid w:val="362F1AE5"/>
    <w:rsid w:val="36B640D3"/>
    <w:rsid w:val="37924A9C"/>
    <w:rsid w:val="37CE6335"/>
    <w:rsid w:val="37F2165B"/>
    <w:rsid w:val="383F6BB9"/>
    <w:rsid w:val="384C1EC2"/>
    <w:rsid w:val="38A27C15"/>
    <w:rsid w:val="38AF3CF4"/>
    <w:rsid w:val="39A56170"/>
    <w:rsid w:val="3A444383"/>
    <w:rsid w:val="3D953996"/>
    <w:rsid w:val="3E472DAF"/>
    <w:rsid w:val="3EB06110"/>
    <w:rsid w:val="3FC760E8"/>
    <w:rsid w:val="40632ABB"/>
    <w:rsid w:val="40BC7846"/>
    <w:rsid w:val="430100C4"/>
    <w:rsid w:val="433F5BD6"/>
    <w:rsid w:val="46FE0EAC"/>
    <w:rsid w:val="473846C5"/>
    <w:rsid w:val="47640BDF"/>
    <w:rsid w:val="49624F77"/>
    <w:rsid w:val="4981301B"/>
    <w:rsid w:val="4AAB5E05"/>
    <w:rsid w:val="4AFF141F"/>
    <w:rsid w:val="4C1419E5"/>
    <w:rsid w:val="4EC17EC6"/>
    <w:rsid w:val="50847E24"/>
    <w:rsid w:val="51BA61F5"/>
    <w:rsid w:val="52576838"/>
    <w:rsid w:val="54CA6404"/>
    <w:rsid w:val="55264C46"/>
    <w:rsid w:val="56652642"/>
    <w:rsid w:val="57535ECD"/>
    <w:rsid w:val="58876194"/>
    <w:rsid w:val="5912614B"/>
    <w:rsid w:val="59A37CFC"/>
    <w:rsid w:val="5B75624A"/>
    <w:rsid w:val="5E416032"/>
    <w:rsid w:val="5E777057"/>
    <w:rsid w:val="607474E8"/>
    <w:rsid w:val="63057FA5"/>
    <w:rsid w:val="63577450"/>
    <w:rsid w:val="647C5CBC"/>
    <w:rsid w:val="64FC4F73"/>
    <w:rsid w:val="682E03A0"/>
    <w:rsid w:val="68C82F53"/>
    <w:rsid w:val="68EC03CC"/>
    <w:rsid w:val="6C4B2D7A"/>
    <w:rsid w:val="6C721EA9"/>
    <w:rsid w:val="6C956E63"/>
    <w:rsid w:val="6D281DAB"/>
    <w:rsid w:val="6D887B23"/>
    <w:rsid w:val="6FA462D6"/>
    <w:rsid w:val="6FEF6C86"/>
    <w:rsid w:val="701019ED"/>
    <w:rsid w:val="70EB3E3E"/>
    <w:rsid w:val="71116478"/>
    <w:rsid w:val="72A41DB0"/>
    <w:rsid w:val="72BC012E"/>
    <w:rsid w:val="72D81248"/>
    <w:rsid w:val="740B7887"/>
    <w:rsid w:val="74BB3E46"/>
    <w:rsid w:val="762A1E96"/>
    <w:rsid w:val="762E1E5C"/>
    <w:rsid w:val="76742DB6"/>
    <w:rsid w:val="76760069"/>
    <w:rsid w:val="76D11934"/>
    <w:rsid w:val="775240CC"/>
    <w:rsid w:val="77796C7F"/>
    <w:rsid w:val="781045A6"/>
    <w:rsid w:val="79861D45"/>
    <w:rsid w:val="79F042A6"/>
    <w:rsid w:val="7A5A705F"/>
    <w:rsid w:val="7B4E61B7"/>
    <w:rsid w:val="7E375106"/>
    <w:rsid w:val="7E5E4287"/>
    <w:rsid w:val="7E864CFD"/>
    <w:rsid w:val="7EAD58A9"/>
    <w:rsid w:val="7F2236F0"/>
    <w:rsid w:val="F7FFFC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rPr>
      <w:sz w:val="24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Emphasis"/>
    <w:basedOn w:val="10"/>
    <w:qFormat/>
    <w:uiPriority w:val="20"/>
    <w:rPr>
      <w:i/>
      <w:iCs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10"/>
    <w:link w:val="6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10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7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apple-converted-space"/>
    <w:basedOn w:val="10"/>
    <w:qFormat/>
    <w:uiPriority w:val="0"/>
  </w:style>
  <w:style w:type="paragraph" w:customStyle="1" w:styleId="19">
    <w:name w:val="课纲主主标格式"/>
    <w:qFormat/>
    <w:uiPriority w:val="0"/>
    <w:pPr>
      <w:widowControl w:val="0"/>
      <w:spacing w:line="400" w:lineRule="exact"/>
      <w:jc w:val="both"/>
    </w:pPr>
    <w:rPr>
      <w:rFonts w:hint="eastAsia" w:ascii="Arial Unicode MS" w:hAnsi="Arial Unicode MS" w:eastAsia="Songti SC Bold" w:cs="Arial Unicode MS"/>
      <w:color w:val="093C5F"/>
      <w:kern w:val="2"/>
      <w:sz w:val="32"/>
      <w:szCs w:val="32"/>
      <w:u w:color="000000"/>
      <w:lang w:val="zh-TW" w:eastAsia="zh-TW" w:bidi="ar-SA"/>
    </w:rPr>
  </w:style>
  <w:style w:type="paragraph" w:customStyle="1" w:styleId="20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paragraph" w:customStyle="1" w:styleId="22">
    <w:name w:val="样式1"/>
    <w:basedOn w:val="1"/>
    <w:next w:val="1"/>
    <w:qFormat/>
    <w:uiPriority w:val="0"/>
    <w:pPr>
      <w:widowControl/>
      <w:spacing w:beforeAutospacing="1" w:afterAutospacing="1"/>
      <w:jc w:val="left"/>
      <w:outlineLvl w:val="0"/>
    </w:pPr>
    <w:rPr>
      <w:rFonts w:hint="eastAsia" w:ascii="宋体" w:hAnsi="宋体" w:eastAsia="微软雅黑" w:cs="宋体"/>
      <w:b/>
      <w:bCs/>
      <w:kern w:val="36"/>
      <w:sz w:val="36"/>
      <w:szCs w:val="48"/>
    </w:rPr>
  </w:style>
  <w:style w:type="character" w:styleId="23">
    <w:name w:val="Placeholder Text"/>
    <w:basedOn w:val="10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12</Pages>
  <Words>3894</Words>
  <Characters>4185</Characters>
  <Lines>24</Lines>
  <Paragraphs>6</Paragraphs>
  <TotalTime>1</TotalTime>
  <ScaleCrop>false</ScaleCrop>
  <LinksUpToDate>false</LinksUpToDate>
  <CharactersWithSpaces>4382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2020-03-26T08:46:00Z</dcterms:created>
  <dc:creator>微软用户</dc:creator>
  <cp:lastModifiedBy>Administrator</cp:lastModifiedBy>
  <cp:lastPrinted>2019-11-21T03:12:00Z</cp:lastPrinted>
  <dcterms:modified xsi:type="dcterms:W3CDTF">2021-04-09T02:12:10Z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9F2A49A70DA4473898CD33E4E0F9AACA</vt:lpwstr>
  </property>
</Properties>
</file>